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E91" w:rsidRDefault="00F51E91" w:rsidP="009F1041">
      <w:pPr>
        <w:rPr>
          <w:rFonts w:ascii="Garamond" w:hAnsi="Garamond"/>
          <w:b/>
          <w:bCs/>
          <w:color w:val="000000"/>
          <w:u w:val="single"/>
        </w:rPr>
      </w:pPr>
      <w:bookmarkStart w:id="0" w:name="_GoBack"/>
      <w:bookmarkEnd w:id="0"/>
    </w:p>
    <w:p w:rsidR="00F51E91" w:rsidRDefault="00F51E91" w:rsidP="009F1041">
      <w:pPr>
        <w:rPr>
          <w:rFonts w:ascii="Garamond" w:hAnsi="Garamond"/>
          <w:b/>
          <w:bCs/>
          <w:color w:val="000000"/>
          <w:u w:val="single"/>
        </w:rPr>
      </w:pPr>
    </w:p>
    <w:p w:rsidR="002B7B3C" w:rsidRPr="002B7B3C" w:rsidRDefault="009F1041" w:rsidP="002B7B3C">
      <w:pPr>
        <w:rPr>
          <w:rFonts w:ascii="Garamond" w:hAnsi="Garamond"/>
          <w:bCs/>
          <w:color w:val="000000"/>
        </w:rPr>
      </w:pPr>
      <w:r w:rsidRPr="002B7B3C">
        <w:rPr>
          <w:rFonts w:ascii="Garamond" w:hAnsi="Garamond"/>
          <w:b/>
          <w:bCs/>
          <w:color w:val="000000"/>
          <w:u w:val="single"/>
        </w:rPr>
        <w:t>PURPOSE:</w:t>
      </w:r>
      <w:r w:rsidRPr="002B7B3C">
        <w:rPr>
          <w:rFonts w:ascii="Garamond" w:hAnsi="Garamond"/>
          <w:color w:val="000000"/>
        </w:rPr>
        <w:t xml:space="preserve"> </w:t>
      </w:r>
      <w:r w:rsidR="002B7B3C" w:rsidRPr="002B7B3C">
        <w:rPr>
          <w:rFonts w:ascii="Garamond" w:hAnsi="Garamond"/>
          <w:bCs/>
          <w:color w:val="000000"/>
        </w:rPr>
        <w:t>This describes the process followed by members of the research team when the</w:t>
      </w:r>
    </w:p>
    <w:p w:rsidR="009F1041" w:rsidRPr="002B7B3C" w:rsidRDefault="002B7B3C" w:rsidP="009F1041">
      <w:pPr>
        <w:rPr>
          <w:rFonts w:ascii="Garamond" w:hAnsi="Garamond"/>
          <w:color w:val="000000"/>
        </w:rPr>
      </w:pPr>
      <w:r w:rsidRPr="002B7B3C">
        <w:rPr>
          <w:rFonts w:ascii="Garamond" w:hAnsi="Garamond"/>
          <w:bCs/>
          <w:color w:val="000000"/>
        </w:rPr>
        <w:t xml:space="preserve"> monitor, assigned by the Sponsor/CRO, conducts a monitoring visit.</w:t>
      </w:r>
    </w:p>
    <w:p w:rsidR="009F1041" w:rsidRPr="002B7B3C" w:rsidRDefault="009F1041" w:rsidP="009F1041">
      <w:pPr>
        <w:rPr>
          <w:rFonts w:ascii="Garamond" w:hAnsi="Garamond"/>
          <w:b/>
          <w:color w:val="000000"/>
          <w:u w:val="single"/>
        </w:rPr>
      </w:pPr>
    </w:p>
    <w:p w:rsidR="002B7B3C" w:rsidRPr="002B7B3C" w:rsidRDefault="009F1041" w:rsidP="002B7B3C">
      <w:pPr>
        <w:rPr>
          <w:rFonts w:ascii="Garamond" w:hAnsi="Garamond"/>
          <w:color w:val="000000"/>
        </w:rPr>
      </w:pPr>
      <w:r w:rsidRPr="002B7B3C">
        <w:rPr>
          <w:rFonts w:ascii="Garamond" w:hAnsi="Garamond"/>
          <w:b/>
          <w:color w:val="000000"/>
          <w:u w:val="single"/>
        </w:rPr>
        <w:t>SCOPE:</w:t>
      </w:r>
      <w:r w:rsidRPr="002B7B3C">
        <w:rPr>
          <w:rFonts w:ascii="Garamond" w:hAnsi="Garamond"/>
          <w:color w:val="000000"/>
        </w:rPr>
        <w:t xml:space="preserve"> </w:t>
      </w:r>
      <w:r w:rsidR="002B7B3C" w:rsidRPr="002B7B3C">
        <w:rPr>
          <w:rFonts w:ascii="Garamond" w:hAnsi="Garamond"/>
          <w:color w:val="000000"/>
        </w:rPr>
        <w:t xml:space="preserve">Members of the research team who assist the Principal Investigator when hosting a monitoring visit pertaining to clinical studies subject to all regulations for drugs and biologics during all investigational phrases of development.  </w:t>
      </w:r>
    </w:p>
    <w:p w:rsidR="00D04EE6" w:rsidRPr="002B7B3C" w:rsidRDefault="00D04EE6" w:rsidP="009F1041">
      <w:pPr>
        <w:rPr>
          <w:rFonts w:ascii="Garamond" w:hAnsi="Garamond"/>
          <w:color w:val="000000"/>
        </w:rPr>
      </w:pPr>
    </w:p>
    <w:p w:rsidR="009F1041" w:rsidRPr="002B7B3C" w:rsidRDefault="009F1041" w:rsidP="00D04EE6">
      <w:pPr>
        <w:rPr>
          <w:rFonts w:ascii="Garamond" w:hAnsi="Garamond"/>
          <w:color w:val="000000"/>
        </w:rPr>
      </w:pPr>
      <w:r w:rsidRPr="002B7B3C">
        <w:rPr>
          <w:rFonts w:ascii="Garamond" w:hAnsi="Garamond"/>
          <w:b/>
          <w:color w:val="000000"/>
          <w:u w:val="single"/>
        </w:rPr>
        <w:t xml:space="preserve">PERSONNEL RESPONSIBLE: </w:t>
      </w:r>
      <w:r w:rsidRPr="002B7B3C">
        <w:rPr>
          <w:rFonts w:ascii="Garamond" w:hAnsi="Garamond"/>
          <w:color w:val="000000"/>
        </w:rPr>
        <w:t xml:space="preserve"> Principal Investigator and when delegated by the </w:t>
      </w:r>
      <w:r w:rsidR="00E70A3F" w:rsidRPr="002B7B3C">
        <w:rPr>
          <w:rFonts w:ascii="Garamond" w:hAnsi="Garamond"/>
          <w:color w:val="000000"/>
        </w:rPr>
        <w:t>Principal Investigator---- Sub-I</w:t>
      </w:r>
      <w:r w:rsidRPr="002B7B3C">
        <w:rPr>
          <w:rFonts w:ascii="Garamond" w:hAnsi="Garamond"/>
          <w:color w:val="000000"/>
        </w:rPr>
        <w:t xml:space="preserve">nvestigators, Study Coordinator and/or other pertinent staff.  </w:t>
      </w:r>
    </w:p>
    <w:p w:rsidR="00D04EE6" w:rsidRPr="002B7B3C" w:rsidRDefault="00D04EE6" w:rsidP="00D04EE6">
      <w:pPr>
        <w:rPr>
          <w:rFonts w:ascii="Garamond" w:hAnsi="Garamond"/>
          <w:color w:val="000000"/>
        </w:rPr>
      </w:pPr>
    </w:p>
    <w:p w:rsidR="002B7B3C" w:rsidRPr="002B7B3C" w:rsidRDefault="009F1041" w:rsidP="002B7B3C">
      <w:pPr>
        <w:rPr>
          <w:rFonts w:ascii="Garamond" w:hAnsi="Garamond"/>
          <w:b/>
          <w:bCs/>
          <w:color w:val="000000"/>
          <w:u w:val="single"/>
        </w:rPr>
      </w:pPr>
      <w:r w:rsidRPr="002B7B3C">
        <w:rPr>
          <w:rFonts w:ascii="Garamond" w:hAnsi="Garamond"/>
          <w:b/>
          <w:bCs/>
          <w:color w:val="000000"/>
          <w:u w:val="single"/>
        </w:rPr>
        <w:t xml:space="preserve">PROCEDURES: </w:t>
      </w:r>
    </w:p>
    <w:p w:rsidR="002B7B3C" w:rsidRPr="002B7B3C" w:rsidRDefault="002B7B3C" w:rsidP="002B7B3C">
      <w:pPr>
        <w:rPr>
          <w:rFonts w:ascii="Garamond" w:hAnsi="Garamond"/>
          <w:b/>
          <w:bCs/>
          <w:color w:val="000000"/>
          <w:u w:val="single"/>
        </w:rPr>
      </w:pPr>
      <w:r w:rsidRPr="002B7B3C">
        <w:rPr>
          <w:rFonts w:ascii="Garamond" w:hAnsi="Garamond"/>
          <w:b/>
        </w:rPr>
        <w:t>Scheduling the site monitoring visit</w:t>
      </w:r>
    </w:p>
    <w:p w:rsidR="002B7B3C" w:rsidRPr="002B7B3C" w:rsidRDefault="002B7B3C" w:rsidP="002B7B3C">
      <w:pPr>
        <w:numPr>
          <w:ilvl w:val="0"/>
          <w:numId w:val="9"/>
        </w:numPr>
        <w:rPr>
          <w:rFonts w:ascii="Garamond" w:hAnsi="Garamond"/>
        </w:rPr>
      </w:pPr>
      <w:r w:rsidRPr="002B7B3C">
        <w:rPr>
          <w:rFonts w:ascii="Garamond" w:hAnsi="Garamond"/>
        </w:rPr>
        <w:t xml:space="preserve">Schedule a mutually agreeable date/time between the research team or designee(s) and the monitor to accommodate the visit.  </w:t>
      </w:r>
    </w:p>
    <w:p w:rsidR="002B7B3C" w:rsidRPr="002B7B3C" w:rsidRDefault="002B7B3C" w:rsidP="002B7B3C">
      <w:pPr>
        <w:numPr>
          <w:ilvl w:val="0"/>
          <w:numId w:val="9"/>
        </w:numPr>
        <w:rPr>
          <w:rFonts w:ascii="Garamond" w:hAnsi="Garamond"/>
        </w:rPr>
      </w:pPr>
      <w:r w:rsidRPr="002B7B3C">
        <w:rPr>
          <w:rFonts w:ascii="Garamond" w:hAnsi="Garamond"/>
        </w:rPr>
        <w:t>Reserve a work space for the monitor.</w:t>
      </w:r>
    </w:p>
    <w:p w:rsidR="002B7B3C" w:rsidRPr="002B7B3C" w:rsidRDefault="002B7B3C" w:rsidP="002B7B3C">
      <w:pPr>
        <w:numPr>
          <w:ilvl w:val="0"/>
          <w:numId w:val="9"/>
        </w:numPr>
        <w:rPr>
          <w:rFonts w:ascii="Garamond" w:hAnsi="Garamond"/>
        </w:rPr>
      </w:pPr>
      <w:r w:rsidRPr="002B7B3C">
        <w:rPr>
          <w:rFonts w:ascii="Garamond" w:hAnsi="Garamond"/>
        </w:rPr>
        <w:t>If applicable, arrange for subject medical records to be available for review.</w:t>
      </w:r>
    </w:p>
    <w:p w:rsidR="002B7B3C" w:rsidRPr="002B7B3C" w:rsidRDefault="002B7B3C" w:rsidP="002B7B3C">
      <w:pPr>
        <w:numPr>
          <w:ilvl w:val="0"/>
          <w:numId w:val="9"/>
        </w:numPr>
        <w:rPr>
          <w:rFonts w:ascii="Garamond" w:hAnsi="Garamond"/>
        </w:rPr>
      </w:pPr>
      <w:r w:rsidRPr="002B7B3C">
        <w:rPr>
          <w:rFonts w:ascii="Garamond" w:hAnsi="Garamond"/>
        </w:rPr>
        <w:t>Notify all members of the research team (e.g. Regulatory Coordinator, Pharmacy, Lab, etc.) with the confirmed visit date, time and location.</w:t>
      </w:r>
    </w:p>
    <w:p w:rsidR="002B7B3C" w:rsidRPr="002B7B3C" w:rsidRDefault="002B7B3C" w:rsidP="002B7B3C">
      <w:pPr>
        <w:rPr>
          <w:rFonts w:ascii="Garamond" w:hAnsi="Garamond"/>
          <w:b/>
          <w:bCs/>
          <w:color w:val="000000"/>
        </w:rPr>
      </w:pPr>
    </w:p>
    <w:p w:rsidR="002B7B3C" w:rsidRPr="002B7B3C" w:rsidRDefault="002B7B3C" w:rsidP="002B7B3C">
      <w:pPr>
        <w:rPr>
          <w:rFonts w:ascii="Garamond" w:hAnsi="Garamond"/>
          <w:b/>
          <w:bCs/>
          <w:color w:val="000000"/>
        </w:rPr>
      </w:pPr>
      <w:r w:rsidRPr="002B7B3C">
        <w:rPr>
          <w:rFonts w:ascii="Garamond" w:hAnsi="Garamond"/>
          <w:b/>
          <w:bCs/>
          <w:color w:val="000000"/>
        </w:rPr>
        <w:t>Washington University School of Medicine Visitor Policy</w:t>
      </w:r>
    </w:p>
    <w:p w:rsidR="002B7B3C" w:rsidRPr="002B7B3C" w:rsidRDefault="002B7B3C" w:rsidP="002B7B3C">
      <w:pPr>
        <w:numPr>
          <w:ilvl w:val="0"/>
          <w:numId w:val="10"/>
        </w:numPr>
        <w:rPr>
          <w:rFonts w:ascii="Garamond" w:hAnsi="Garamond"/>
          <w:bCs/>
          <w:color w:val="000000"/>
        </w:rPr>
      </w:pPr>
      <w:r w:rsidRPr="002B7B3C">
        <w:rPr>
          <w:rFonts w:ascii="Garamond" w:hAnsi="Garamond"/>
          <w:bCs/>
          <w:color w:val="000000"/>
        </w:rPr>
        <w:t>Per Washington University School of Medicine Visitor Policy; if a monitor visit is scheduled between October 1</w:t>
      </w:r>
      <w:r w:rsidRPr="002B7B3C">
        <w:rPr>
          <w:rFonts w:ascii="Garamond" w:hAnsi="Garamond"/>
          <w:bCs/>
          <w:color w:val="000000"/>
          <w:vertAlign w:val="superscript"/>
        </w:rPr>
        <w:t>st</w:t>
      </w:r>
      <w:r w:rsidRPr="002B7B3C">
        <w:rPr>
          <w:rFonts w:ascii="Garamond" w:hAnsi="Garamond"/>
          <w:bCs/>
          <w:color w:val="000000"/>
        </w:rPr>
        <w:t xml:space="preserve"> and March 31</w:t>
      </w:r>
      <w:r w:rsidRPr="002B7B3C">
        <w:rPr>
          <w:rFonts w:ascii="Garamond" w:hAnsi="Garamond"/>
          <w:bCs/>
          <w:color w:val="000000"/>
          <w:vertAlign w:val="superscript"/>
        </w:rPr>
        <w:t>st</w:t>
      </w:r>
      <w:r w:rsidRPr="002B7B3C">
        <w:rPr>
          <w:rFonts w:ascii="Garamond" w:hAnsi="Garamond"/>
          <w:bCs/>
          <w:color w:val="000000"/>
        </w:rPr>
        <w:t>, the research team member scheduling this visit will request that the monitor present documentation of an influenza vaccine for that current season. This documentation should be forwarded to the research team member prior to the scheduled monitor visit. Monitor must have had the influenza vaccine completed prior to coming on the medical campus.</w:t>
      </w:r>
    </w:p>
    <w:p w:rsidR="002B7B3C" w:rsidRPr="002B7B3C" w:rsidRDefault="002B7B3C" w:rsidP="002B7B3C">
      <w:pPr>
        <w:numPr>
          <w:ilvl w:val="0"/>
          <w:numId w:val="10"/>
        </w:numPr>
        <w:rPr>
          <w:rFonts w:ascii="Garamond" w:hAnsi="Garamond"/>
          <w:bCs/>
          <w:color w:val="000000"/>
        </w:rPr>
      </w:pPr>
      <w:r w:rsidRPr="002B7B3C">
        <w:rPr>
          <w:rFonts w:ascii="Garamond" w:hAnsi="Garamond"/>
          <w:bCs/>
          <w:color w:val="000000"/>
        </w:rPr>
        <w:t>The monitor must complete the Washington University questionnaire and forward the completed form to the research team member.</w:t>
      </w:r>
    </w:p>
    <w:p w:rsidR="002B7B3C" w:rsidRPr="002B7B3C" w:rsidRDefault="002B7B3C" w:rsidP="002B7B3C">
      <w:pPr>
        <w:numPr>
          <w:ilvl w:val="0"/>
          <w:numId w:val="10"/>
        </w:numPr>
        <w:rPr>
          <w:rFonts w:ascii="Garamond" w:hAnsi="Garamond"/>
          <w:bCs/>
          <w:color w:val="000000"/>
        </w:rPr>
      </w:pPr>
      <w:r w:rsidRPr="002B7B3C">
        <w:rPr>
          <w:rFonts w:ascii="Garamond" w:hAnsi="Garamond"/>
          <w:bCs/>
          <w:color w:val="000000"/>
        </w:rPr>
        <w:t>If the monitor states that there is a religious reason why they cannot receive the influenza vaccine, they need to complete the WU Request for Religious Exemption from Influenza Vaccination form.</w:t>
      </w:r>
    </w:p>
    <w:p w:rsidR="002B7B3C" w:rsidRPr="002B7B3C" w:rsidRDefault="002B7B3C" w:rsidP="002B7B3C">
      <w:pPr>
        <w:numPr>
          <w:ilvl w:val="0"/>
          <w:numId w:val="10"/>
        </w:numPr>
        <w:rPr>
          <w:rFonts w:ascii="Garamond" w:hAnsi="Garamond"/>
          <w:bCs/>
          <w:color w:val="000000"/>
        </w:rPr>
      </w:pPr>
      <w:r w:rsidRPr="002B7B3C">
        <w:rPr>
          <w:rFonts w:ascii="Garamond" w:hAnsi="Garamond"/>
          <w:bCs/>
          <w:color w:val="000000"/>
        </w:rPr>
        <w:t>If the monitor states that there is a medical reason why they cannot receive the influenza vaccine, they need to complete the WU Request for Medical Exemption from Influenza Vaccination form.</w:t>
      </w:r>
    </w:p>
    <w:p w:rsidR="002B7B3C" w:rsidRPr="002B7B3C" w:rsidRDefault="002B7B3C" w:rsidP="002B7B3C">
      <w:pPr>
        <w:numPr>
          <w:ilvl w:val="0"/>
          <w:numId w:val="10"/>
        </w:numPr>
        <w:rPr>
          <w:rFonts w:ascii="Garamond" w:hAnsi="Garamond"/>
          <w:bCs/>
          <w:color w:val="000000"/>
        </w:rPr>
      </w:pPr>
      <w:r w:rsidRPr="002B7B3C">
        <w:rPr>
          <w:rFonts w:ascii="Garamond" w:hAnsi="Garamond"/>
          <w:bCs/>
          <w:color w:val="000000"/>
        </w:rPr>
        <w:t xml:space="preserve">Upon completion and receipt of the monitor’s completed form(s), the research team member will fax form(s) and influenza documentation to WUSM Occupational Health (#362-0058). If the visitor answers “yes” to any questions on the form, he/she may not </w:t>
      </w:r>
      <w:r w:rsidRPr="002B7B3C">
        <w:rPr>
          <w:rFonts w:ascii="Garamond" w:hAnsi="Garamond"/>
          <w:bCs/>
          <w:color w:val="000000"/>
        </w:rPr>
        <w:lastRenderedPageBreak/>
        <w:t>interact with patients or visit a patient care area until evaluation by Occupational Health is completed.</w:t>
      </w:r>
    </w:p>
    <w:p w:rsidR="002B7B3C" w:rsidRPr="002B7B3C" w:rsidRDefault="002B7B3C" w:rsidP="002B7B3C">
      <w:pPr>
        <w:ind w:left="288"/>
        <w:rPr>
          <w:rFonts w:ascii="Garamond" w:hAnsi="Garamond"/>
          <w:b/>
          <w:bCs/>
          <w:color w:val="000000"/>
        </w:rPr>
      </w:pPr>
    </w:p>
    <w:p w:rsidR="002B7B3C" w:rsidRPr="002B7B3C" w:rsidRDefault="002B7B3C" w:rsidP="002B7B3C">
      <w:pPr>
        <w:rPr>
          <w:rFonts w:ascii="Garamond" w:hAnsi="Garamond"/>
          <w:b/>
          <w:bCs/>
          <w:color w:val="000000"/>
        </w:rPr>
      </w:pPr>
      <w:r w:rsidRPr="002B7B3C">
        <w:rPr>
          <w:rFonts w:ascii="Garamond" w:hAnsi="Garamond"/>
          <w:b/>
          <w:bCs/>
          <w:color w:val="000000"/>
        </w:rPr>
        <w:t>Preparing for the monitoring visit</w:t>
      </w:r>
    </w:p>
    <w:p w:rsidR="002B7B3C" w:rsidRPr="002B7B3C" w:rsidRDefault="002B7B3C" w:rsidP="002B7B3C">
      <w:pPr>
        <w:numPr>
          <w:ilvl w:val="0"/>
          <w:numId w:val="10"/>
        </w:numPr>
        <w:rPr>
          <w:rFonts w:ascii="Garamond" w:hAnsi="Garamond"/>
          <w:b/>
          <w:bCs/>
          <w:color w:val="000000"/>
        </w:rPr>
      </w:pPr>
      <w:r w:rsidRPr="002B7B3C">
        <w:rPr>
          <w:rFonts w:ascii="Garamond" w:hAnsi="Garamond"/>
          <w:bCs/>
          <w:color w:val="000000"/>
        </w:rPr>
        <w:t xml:space="preserve">Ensure that all regulatory documents, CRFs, and drug/device accountability records are available for review.  </w:t>
      </w:r>
    </w:p>
    <w:p w:rsidR="002B7B3C" w:rsidRPr="002B7B3C" w:rsidRDefault="002B7B3C" w:rsidP="002B7B3C">
      <w:pPr>
        <w:numPr>
          <w:ilvl w:val="0"/>
          <w:numId w:val="10"/>
        </w:numPr>
        <w:rPr>
          <w:rFonts w:ascii="Garamond" w:hAnsi="Garamond"/>
          <w:b/>
          <w:bCs/>
          <w:color w:val="000000"/>
        </w:rPr>
      </w:pPr>
      <w:r w:rsidRPr="002B7B3C">
        <w:rPr>
          <w:rFonts w:ascii="Garamond" w:hAnsi="Garamond"/>
          <w:bCs/>
          <w:color w:val="000000"/>
        </w:rPr>
        <w:t>Ensure that all data queries and corrections received to date have been resolved to the extent possible.</w:t>
      </w:r>
    </w:p>
    <w:p w:rsidR="002B7B3C" w:rsidRPr="002B7B3C" w:rsidRDefault="002B7B3C" w:rsidP="002B7B3C">
      <w:pPr>
        <w:ind w:left="288"/>
        <w:rPr>
          <w:rFonts w:ascii="Garamond" w:hAnsi="Garamond"/>
          <w:b/>
          <w:bCs/>
          <w:color w:val="000000"/>
        </w:rPr>
      </w:pPr>
    </w:p>
    <w:p w:rsidR="002B7B3C" w:rsidRPr="002B7B3C" w:rsidRDefault="002B7B3C" w:rsidP="002B7B3C">
      <w:pPr>
        <w:rPr>
          <w:rFonts w:ascii="Garamond" w:hAnsi="Garamond"/>
          <w:b/>
          <w:bCs/>
          <w:color w:val="000000"/>
        </w:rPr>
      </w:pPr>
      <w:r w:rsidRPr="002B7B3C">
        <w:rPr>
          <w:rFonts w:ascii="Garamond" w:hAnsi="Garamond"/>
          <w:b/>
          <w:bCs/>
          <w:color w:val="000000"/>
        </w:rPr>
        <w:t>Managing the monitoring visit</w:t>
      </w:r>
    </w:p>
    <w:p w:rsidR="002B7B3C" w:rsidRPr="002B7B3C" w:rsidRDefault="002B7B3C" w:rsidP="002B7B3C">
      <w:pPr>
        <w:numPr>
          <w:ilvl w:val="0"/>
          <w:numId w:val="13"/>
        </w:numPr>
        <w:rPr>
          <w:rFonts w:ascii="Garamond" w:hAnsi="Garamond"/>
          <w:bCs/>
          <w:color w:val="000000"/>
        </w:rPr>
      </w:pPr>
      <w:r w:rsidRPr="002B7B3C">
        <w:rPr>
          <w:rFonts w:ascii="Garamond" w:hAnsi="Garamond"/>
          <w:bCs/>
          <w:color w:val="000000"/>
        </w:rPr>
        <w:t>Ensure that the monitor signs the visit monitoring log.</w:t>
      </w:r>
    </w:p>
    <w:p w:rsidR="002B7B3C" w:rsidRPr="002B7B3C" w:rsidRDefault="002B7B3C" w:rsidP="002B7B3C">
      <w:pPr>
        <w:rPr>
          <w:rFonts w:ascii="Garamond" w:hAnsi="Garamond"/>
          <w:b/>
          <w:bCs/>
          <w:color w:val="000000"/>
        </w:rPr>
      </w:pPr>
    </w:p>
    <w:p w:rsidR="002B7B3C" w:rsidRPr="002B7B3C" w:rsidRDefault="002B7B3C" w:rsidP="002B7B3C">
      <w:pPr>
        <w:rPr>
          <w:rFonts w:ascii="Garamond" w:hAnsi="Garamond"/>
          <w:b/>
          <w:bCs/>
          <w:color w:val="000000"/>
        </w:rPr>
      </w:pPr>
      <w:r w:rsidRPr="002B7B3C">
        <w:rPr>
          <w:rFonts w:ascii="Garamond" w:hAnsi="Garamond"/>
          <w:b/>
          <w:bCs/>
          <w:color w:val="000000"/>
        </w:rPr>
        <w:t>Following up after the monitoring visit</w:t>
      </w:r>
    </w:p>
    <w:p w:rsidR="009F1041" w:rsidRPr="002B7B3C" w:rsidRDefault="002B7B3C" w:rsidP="002B7B3C">
      <w:pPr>
        <w:numPr>
          <w:ilvl w:val="0"/>
          <w:numId w:val="14"/>
        </w:numPr>
        <w:rPr>
          <w:rFonts w:ascii="Garamond" w:hAnsi="Garamond"/>
          <w:b/>
          <w:bCs/>
          <w:color w:val="000000"/>
        </w:rPr>
      </w:pPr>
      <w:r w:rsidRPr="002B7B3C">
        <w:rPr>
          <w:rFonts w:ascii="Garamond" w:hAnsi="Garamond"/>
          <w:bCs/>
          <w:color w:val="000000"/>
        </w:rPr>
        <w:t>Ensure that all issues identified for resolution or follow up are addressed within the specified time frame provided by the sponsor.</w:t>
      </w:r>
    </w:p>
    <w:sectPr w:rsidR="009F1041" w:rsidRPr="002B7B3C" w:rsidSect="004B7CD6">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5CE" w:rsidRDefault="004F75CE">
      <w:r>
        <w:separator/>
      </w:r>
    </w:p>
  </w:endnote>
  <w:endnote w:type="continuationSeparator" w:id="0">
    <w:p w:rsidR="004F75CE" w:rsidRDefault="004F7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0E" w:rsidRDefault="006E500E"/>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66"/>
      <w:gridCol w:w="2651"/>
      <w:gridCol w:w="4163"/>
    </w:tblGrid>
    <w:tr w:rsidR="006E500E" w:rsidRPr="00DC755A">
      <w:trPr>
        <w:tblCellSpacing w:w="15" w:type="dxa"/>
      </w:trPr>
      <w:tc>
        <w:tcPr>
          <w:tcW w:w="138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r w:rsidRPr="00DC755A">
            <w:rPr>
              <w:rFonts w:ascii="Century Gothic" w:hAnsi="Century Gothic"/>
              <w:b/>
              <w:bCs/>
              <w:color w:val="000000"/>
              <w:sz w:val="27"/>
              <w:szCs w:val="27"/>
            </w:rPr>
            <w:t>Effective Date:</w:t>
          </w:r>
        </w:p>
      </w:tc>
      <w:tc>
        <w:tcPr>
          <w:tcW w:w="138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r w:rsidRPr="00DC755A">
            <w:rPr>
              <w:rFonts w:ascii="Century Gothic" w:hAnsi="Century Gothic"/>
              <w:b/>
              <w:bCs/>
              <w:color w:val="000000"/>
              <w:sz w:val="27"/>
              <w:szCs w:val="27"/>
            </w:rPr>
            <w:t>Revision Date:</w:t>
          </w:r>
        </w:p>
      </w:tc>
      <w:tc>
        <w:tcPr>
          <w:tcW w:w="217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r w:rsidRPr="00DC755A">
            <w:rPr>
              <w:rFonts w:ascii="Century Gothic" w:hAnsi="Century Gothic"/>
              <w:b/>
              <w:bCs/>
              <w:color w:val="000000"/>
              <w:sz w:val="27"/>
              <w:szCs w:val="27"/>
            </w:rPr>
            <w:t xml:space="preserve">Addresses </w:t>
          </w:r>
        </w:p>
      </w:tc>
    </w:tr>
    <w:tr w:rsidR="006E500E" w:rsidRPr="00DC755A">
      <w:trPr>
        <w:tblCellSpacing w:w="15" w:type="dxa"/>
      </w:trPr>
      <w:tc>
        <w:tcPr>
          <w:tcW w:w="138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p>
      </w:tc>
      <w:tc>
        <w:tcPr>
          <w:tcW w:w="138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color w:val="000000"/>
            </w:rPr>
          </w:pPr>
        </w:p>
      </w:tc>
      <w:tc>
        <w:tcPr>
          <w:tcW w:w="2172"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rPr>
              <w:rFonts w:ascii="Century Gothic" w:hAnsi="Century Gothic"/>
              <w:color w:val="000000"/>
            </w:rPr>
          </w:pPr>
        </w:p>
      </w:tc>
    </w:tr>
  </w:tbl>
  <w:p w:rsidR="006E500E" w:rsidRPr="00DC755A" w:rsidRDefault="006E500E">
    <w:pPr>
      <w:pStyle w:val="Foo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5CE" w:rsidRDefault="004F75CE">
      <w:r>
        <w:separator/>
      </w:r>
    </w:p>
  </w:footnote>
  <w:footnote w:type="continuationSeparator" w:id="0">
    <w:p w:rsidR="004F75CE" w:rsidRDefault="004F7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00E" w:rsidRPr="00DC755A" w:rsidRDefault="00DC755A" w:rsidP="004B7CD6">
    <w:pPr>
      <w:jc w:val="center"/>
      <w:rPr>
        <w:rFonts w:ascii="Century Gothic" w:hAnsi="Century Gothic"/>
        <w:color w:val="000000"/>
      </w:rPr>
    </w:pPr>
    <w:r w:rsidRPr="00DC755A">
      <w:rPr>
        <w:rFonts w:ascii="Century Gothic" w:hAnsi="Century Gothic"/>
        <w:b/>
        <w:bCs/>
        <w:color w:val="000000"/>
        <w:sz w:val="27"/>
        <w:szCs w:val="27"/>
      </w:rPr>
      <w:t>[Insert facility name]</w:t>
    </w:r>
    <w:r w:rsidR="006E500E" w:rsidRPr="00DC755A">
      <w:rPr>
        <w:rFonts w:ascii="Century Gothic" w:hAnsi="Century Gothic"/>
        <w:b/>
        <w:bCs/>
        <w:color w:val="000000"/>
        <w:sz w:val="27"/>
        <w:szCs w:val="27"/>
      </w:rPr>
      <w:t xml:space="preserve"> Standard Operating Procedure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7745"/>
      <w:gridCol w:w="1735"/>
    </w:tblGrid>
    <w:tr w:rsidR="006E500E" w:rsidRPr="00DC755A">
      <w:trPr>
        <w:tblCellSpacing w:w="15" w:type="dxa"/>
      </w:trPr>
      <w:tc>
        <w:tcPr>
          <w:tcW w:w="4061"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2B7B3C">
          <w:pPr>
            <w:rPr>
              <w:rFonts w:ascii="Century Gothic" w:hAnsi="Century Gothic"/>
              <w:b/>
              <w:color w:val="000000"/>
            </w:rPr>
          </w:pPr>
          <w:r w:rsidRPr="00DC755A">
            <w:rPr>
              <w:rFonts w:ascii="Century Gothic" w:hAnsi="Century Gothic"/>
              <w:b/>
              <w:bCs/>
              <w:color w:val="000000"/>
            </w:rPr>
            <w:t xml:space="preserve">SOP TITLE:  </w:t>
          </w:r>
          <w:r w:rsidR="002B7B3C">
            <w:rPr>
              <w:rFonts w:ascii="Century Gothic" w:hAnsi="Century Gothic"/>
              <w:b/>
              <w:bCs/>
              <w:color w:val="000000"/>
            </w:rPr>
            <w:t>Monitoring Visits</w:t>
          </w:r>
        </w:p>
      </w:tc>
      <w:tc>
        <w:tcPr>
          <w:tcW w:w="891"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jc w:val="center"/>
            <w:rPr>
              <w:rFonts w:ascii="Century Gothic" w:hAnsi="Century Gothic"/>
              <w:b/>
              <w:color w:val="000000"/>
            </w:rPr>
          </w:pPr>
          <w:r w:rsidRPr="00DC755A">
            <w:rPr>
              <w:rFonts w:ascii="Century Gothic" w:hAnsi="Century Gothic"/>
              <w:b/>
              <w:bCs/>
              <w:color w:val="000000"/>
            </w:rPr>
            <w:t>Version # 1</w:t>
          </w:r>
        </w:p>
      </w:tc>
    </w:tr>
    <w:tr w:rsidR="006E500E" w:rsidRPr="00DC755A">
      <w:trPr>
        <w:tblCellSpacing w:w="15" w:type="dxa"/>
      </w:trPr>
      <w:tc>
        <w:tcPr>
          <w:tcW w:w="4061"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6E500E" w:rsidP="004B7CD6">
          <w:pPr>
            <w:rPr>
              <w:rFonts w:ascii="Century Gothic" w:hAnsi="Century Gothic"/>
              <w:b/>
              <w:color w:val="000000"/>
            </w:rPr>
          </w:pPr>
          <w:r w:rsidRPr="00DC755A">
            <w:rPr>
              <w:rFonts w:ascii="Century Gothic" w:hAnsi="Century Gothic"/>
              <w:b/>
              <w:color w:val="000000"/>
            </w:rPr>
            <w:t xml:space="preserve">SOP NUMBER:  </w:t>
          </w:r>
        </w:p>
      </w:tc>
      <w:tc>
        <w:tcPr>
          <w:tcW w:w="891" w:type="pct"/>
          <w:tcBorders>
            <w:top w:val="outset" w:sz="6" w:space="0" w:color="auto"/>
            <w:left w:val="outset" w:sz="6" w:space="0" w:color="auto"/>
            <w:bottom w:val="outset" w:sz="6" w:space="0" w:color="auto"/>
            <w:right w:val="outset" w:sz="6" w:space="0" w:color="auto"/>
          </w:tcBorders>
          <w:shd w:val="clear" w:color="auto" w:fill="auto"/>
        </w:tcPr>
        <w:p w:rsidR="006E500E" w:rsidRPr="00DC755A" w:rsidRDefault="0024539A" w:rsidP="004B7CD6">
          <w:pPr>
            <w:jc w:val="center"/>
            <w:rPr>
              <w:rFonts w:ascii="Century Gothic" w:hAnsi="Century Gothic"/>
              <w:b/>
              <w:color w:val="000000"/>
            </w:rPr>
          </w:pPr>
          <w:r>
            <w:rPr>
              <w:rFonts w:ascii="Century Gothic" w:hAnsi="Century Gothic"/>
              <w:b/>
              <w:noProof/>
              <w:color w:val="000000"/>
            </w:rPr>
            <w:drawing>
              <wp:inline distT="0" distB="0" distL="0" distR="0">
                <wp:extent cx="9525" cy="9525"/>
                <wp:effectExtent l="0" t="0" r="0" b="0"/>
                <wp:docPr id="1" name="Picture 1" descr="http://marlowe.mc.duke.ed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rlowe.mc.duke.edu/icons/ecblank.gif"/>
                        <pic:cNvPicPr>
                          <a:picLocks noChangeAspect="1" noChangeArrowheads="1"/>
                        </pic:cNvPicPr>
                      </pic:nvPicPr>
                      <pic:blipFill>
                        <a:blip r:embed="rId1" r:link="rId2"/>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E500E" w:rsidRPr="00DC755A">
            <w:rPr>
              <w:rFonts w:ascii="Century Gothic" w:hAnsi="Century Gothic"/>
              <w:b/>
              <w:color w:val="000000"/>
            </w:rPr>
            <w:t xml:space="preserve">Page </w:t>
          </w:r>
          <w:r w:rsidR="003B5DB0" w:rsidRPr="00DC755A">
            <w:rPr>
              <w:rFonts w:ascii="Century Gothic" w:hAnsi="Century Gothic"/>
              <w:b/>
              <w:color w:val="000000"/>
            </w:rPr>
            <w:fldChar w:fldCharType="begin"/>
          </w:r>
          <w:r w:rsidR="006E500E" w:rsidRPr="00DC755A">
            <w:rPr>
              <w:rFonts w:ascii="Century Gothic" w:hAnsi="Century Gothic"/>
              <w:b/>
              <w:color w:val="000000"/>
            </w:rPr>
            <w:instrText xml:space="preserve"> PAGE </w:instrText>
          </w:r>
          <w:r w:rsidR="003B5DB0" w:rsidRPr="00DC755A">
            <w:rPr>
              <w:rFonts w:ascii="Century Gothic" w:hAnsi="Century Gothic"/>
              <w:b/>
              <w:color w:val="000000"/>
            </w:rPr>
            <w:fldChar w:fldCharType="separate"/>
          </w:r>
          <w:r w:rsidR="00D17008">
            <w:rPr>
              <w:rFonts w:ascii="Century Gothic" w:hAnsi="Century Gothic"/>
              <w:b/>
              <w:noProof/>
              <w:color w:val="000000"/>
            </w:rPr>
            <w:t>1</w:t>
          </w:r>
          <w:r w:rsidR="003B5DB0" w:rsidRPr="00DC755A">
            <w:rPr>
              <w:rFonts w:ascii="Century Gothic" w:hAnsi="Century Gothic"/>
              <w:b/>
              <w:color w:val="000000"/>
            </w:rPr>
            <w:fldChar w:fldCharType="end"/>
          </w:r>
          <w:r w:rsidR="006E500E" w:rsidRPr="00DC755A">
            <w:rPr>
              <w:rFonts w:ascii="Century Gothic" w:hAnsi="Century Gothic"/>
              <w:b/>
              <w:color w:val="000000"/>
            </w:rPr>
            <w:t xml:space="preserve"> of </w:t>
          </w:r>
          <w:r w:rsidR="003B5DB0" w:rsidRPr="00DC755A">
            <w:rPr>
              <w:rFonts w:ascii="Century Gothic" w:hAnsi="Century Gothic"/>
              <w:b/>
              <w:color w:val="000000"/>
            </w:rPr>
            <w:fldChar w:fldCharType="begin"/>
          </w:r>
          <w:r w:rsidR="006E500E" w:rsidRPr="00DC755A">
            <w:rPr>
              <w:rFonts w:ascii="Century Gothic" w:hAnsi="Century Gothic"/>
              <w:b/>
              <w:color w:val="000000"/>
            </w:rPr>
            <w:instrText xml:space="preserve"> NUMPAGES </w:instrText>
          </w:r>
          <w:r w:rsidR="003B5DB0" w:rsidRPr="00DC755A">
            <w:rPr>
              <w:rFonts w:ascii="Century Gothic" w:hAnsi="Century Gothic"/>
              <w:b/>
              <w:color w:val="000000"/>
            </w:rPr>
            <w:fldChar w:fldCharType="separate"/>
          </w:r>
          <w:r w:rsidR="00D17008">
            <w:rPr>
              <w:rFonts w:ascii="Century Gothic" w:hAnsi="Century Gothic"/>
              <w:b/>
              <w:noProof/>
              <w:color w:val="000000"/>
            </w:rPr>
            <w:t>2</w:t>
          </w:r>
          <w:r w:rsidR="003B5DB0" w:rsidRPr="00DC755A">
            <w:rPr>
              <w:rFonts w:ascii="Century Gothic" w:hAnsi="Century Gothic"/>
              <w:b/>
              <w:color w:val="000000"/>
            </w:rPr>
            <w:fldChar w:fldCharType="end"/>
          </w:r>
        </w:p>
      </w:tc>
    </w:tr>
  </w:tbl>
  <w:p w:rsidR="00DC755A" w:rsidRDefault="00DC755A" w:rsidP="00DC755A">
    <w:pPr>
      <w:pStyle w:val="Header"/>
      <w:jc w:val="center"/>
      <w:rPr>
        <w:rFonts w:ascii="Century Gothic" w:hAnsi="Century Gothic"/>
        <w:sz w:val="18"/>
        <w:szCs w:val="18"/>
      </w:rPr>
    </w:pPr>
  </w:p>
  <w:p w:rsidR="006E500E" w:rsidRDefault="006E50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22AD"/>
    <w:multiLevelType w:val="hybridMultilevel"/>
    <w:tmpl w:val="E9C6FCFE"/>
    <w:lvl w:ilvl="0" w:tplc="055CDC9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026B7938"/>
    <w:multiLevelType w:val="hybridMultilevel"/>
    <w:tmpl w:val="7400B824"/>
    <w:lvl w:ilvl="0" w:tplc="6FCECB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E85339"/>
    <w:multiLevelType w:val="hybridMultilevel"/>
    <w:tmpl w:val="8304A4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A16988"/>
    <w:multiLevelType w:val="hybridMultilevel"/>
    <w:tmpl w:val="BB5060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DE2B62"/>
    <w:multiLevelType w:val="hybridMultilevel"/>
    <w:tmpl w:val="1BC26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DC6400E"/>
    <w:multiLevelType w:val="hybridMultilevel"/>
    <w:tmpl w:val="124A1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587C89"/>
    <w:multiLevelType w:val="hybridMultilevel"/>
    <w:tmpl w:val="DBDACFAE"/>
    <w:lvl w:ilvl="0" w:tplc="5DAE5E2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B96D33"/>
    <w:multiLevelType w:val="hybridMultilevel"/>
    <w:tmpl w:val="E450872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3D855884"/>
    <w:multiLevelType w:val="multilevel"/>
    <w:tmpl w:val="73CCF3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0E01A71"/>
    <w:multiLevelType w:val="hybridMultilevel"/>
    <w:tmpl w:val="DEF26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3D0449A"/>
    <w:multiLevelType w:val="hybridMultilevel"/>
    <w:tmpl w:val="2E3E8B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C957A0"/>
    <w:multiLevelType w:val="hybridMultilevel"/>
    <w:tmpl w:val="A62ED00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nsid w:val="5C921605"/>
    <w:multiLevelType w:val="hybridMultilevel"/>
    <w:tmpl w:val="71BC91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2D97CA6"/>
    <w:multiLevelType w:val="hybridMultilevel"/>
    <w:tmpl w:val="6A001F76"/>
    <w:lvl w:ilvl="0" w:tplc="8E5A85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11"/>
  </w:num>
  <w:num w:numId="2">
    <w:abstractNumId w:val="2"/>
  </w:num>
  <w:num w:numId="3">
    <w:abstractNumId w:val="12"/>
  </w:num>
  <w:num w:numId="4">
    <w:abstractNumId w:val="9"/>
  </w:num>
  <w:num w:numId="5">
    <w:abstractNumId w:val="5"/>
  </w:num>
  <w:num w:numId="6">
    <w:abstractNumId w:val="4"/>
  </w:num>
  <w:num w:numId="7">
    <w:abstractNumId w:val="0"/>
  </w:num>
  <w:num w:numId="8">
    <w:abstractNumId w:val="8"/>
  </w:num>
  <w:num w:numId="9">
    <w:abstractNumId w:val="6"/>
  </w:num>
  <w:num w:numId="10">
    <w:abstractNumId w:val="7"/>
  </w:num>
  <w:num w:numId="11">
    <w:abstractNumId w:val="1"/>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A6"/>
    <w:rsid w:val="00061787"/>
    <w:rsid w:val="000A217D"/>
    <w:rsid w:val="000F1BA2"/>
    <w:rsid w:val="001A7700"/>
    <w:rsid w:val="00230A9D"/>
    <w:rsid w:val="0024539A"/>
    <w:rsid w:val="002665F9"/>
    <w:rsid w:val="002B7B3C"/>
    <w:rsid w:val="002D7792"/>
    <w:rsid w:val="003B5DB0"/>
    <w:rsid w:val="00437A8A"/>
    <w:rsid w:val="004B7CD6"/>
    <w:rsid w:val="004F75CE"/>
    <w:rsid w:val="005D591B"/>
    <w:rsid w:val="00603B35"/>
    <w:rsid w:val="006B6EFB"/>
    <w:rsid w:val="006E500E"/>
    <w:rsid w:val="006F26C1"/>
    <w:rsid w:val="007E2A63"/>
    <w:rsid w:val="009E1AA9"/>
    <w:rsid w:val="009F1041"/>
    <w:rsid w:val="00AE2FD6"/>
    <w:rsid w:val="00B54859"/>
    <w:rsid w:val="00C2345A"/>
    <w:rsid w:val="00C2518B"/>
    <w:rsid w:val="00C30ADF"/>
    <w:rsid w:val="00CD5CA6"/>
    <w:rsid w:val="00CF4882"/>
    <w:rsid w:val="00D04EE6"/>
    <w:rsid w:val="00D17008"/>
    <w:rsid w:val="00DC755A"/>
    <w:rsid w:val="00E70A3F"/>
    <w:rsid w:val="00EA3248"/>
    <w:rsid w:val="00F51E91"/>
    <w:rsid w:val="00FC3639"/>
    <w:rsid w:val="00FC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0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1041"/>
    <w:pPr>
      <w:spacing w:before="60" w:after="120" w:line="360" w:lineRule="atLeast"/>
      <w:ind w:left="60"/>
    </w:pPr>
    <w:rPr>
      <w:rFonts w:ascii="Verdana" w:hAnsi="Verdana"/>
      <w:color w:val="000000"/>
      <w:sz w:val="20"/>
      <w:szCs w:val="20"/>
    </w:rPr>
  </w:style>
  <w:style w:type="paragraph" w:styleId="Header">
    <w:name w:val="header"/>
    <w:basedOn w:val="Normal"/>
    <w:rsid w:val="00437A8A"/>
    <w:pPr>
      <w:tabs>
        <w:tab w:val="center" w:pos="4320"/>
        <w:tab w:val="right" w:pos="8640"/>
      </w:tabs>
    </w:pPr>
  </w:style>
  <w:style w:type="paragraph" w:styleId="Footer">
    <w:name w:val="footer"/>
    <w:basedOn w:val="Normal"/>
    <w:rsid w:val="00437A8A"/>
    <w:pPr>
      <w:tabs>
        <w:tab w:val="center" w:pos="4320"/>
        <w:tab w:val="right" w:pos="8640"/>
      </w:tabs>
    </w:pPr>
  </w:style>
  <w:style w:type="paragraph" w:styleId="BalloonText">
    <w:name w:val="Balloon Text"/>
    <w:basedOn w:val="Normal"/>
    <w:semiHidden/>
    <w:rsid w:val="006E500E"/>
    <w:rPr>
      <w:rFonts w:ascii="Tahoma" w:hAnsi="Tahoma" w:cs="Tahoma"/>
      <w:sz w:val="16"/>
      <w:szCs w:val="16"/>
    </w:rPr>
  </w:style>
  <w:style w:type="character" w:styleId="Hyperlink">
    <w:name w:val="Hyperlink"/>
    <w:basedOn w:val="DefaultParagraphFont"/>
    <w:rsid w:val="00F51E91"/>
    <w:rPr>
      <w:color w:val="0000FF" w:themeColor="hyperlink"/>
      <w:u w:val="single"/>
    </w:rPr>
  </w:style>
  <w:style w:type="paragraph" w:styleId="BodyTextIndent">
    <w:name w:val="Body Text Indent"/>
    <w:basedOn w:val="Normal"/>
    <w:link w:val="BodyTextIndentChar"/>
    <w:rsid w:val="002B7B3C"/>
    <w:pPr>
      <w:spacing w:after="120"/>
      <w:ind w:left="360"/>
    </w:pPr>
  </w:style>
  <w:style w:type="character" w:customStyle="1" w:styleId="BodyTextIndentChar">
    <w:name w:val="Body Text Indent Char"/>
    <w:basedOn w:val="DefaultParagraphFont"/>
    <w:link w:val="BodyTextIndent"/>
    <w:rsid w:val="002B7B3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10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F1041"/>
    <w:pPr>
      <w:spacing w:before="60" w:after="120" w:line="360" w:lineRule="atLeast"/>
      <w:ind w:left="60"/>
    </w:pPr>
    <w:rPr>
      <w:rFonts w:ascii="Verdana" w:hAnsi="Verdana"/>
      <w:color w:val="000000"/>
      <w:sz w:val="20"/>
      <w:szCs w:val="20"/>
    </w:rPr>
  </w:style>
  <w:style w:type="paragraph" w:styleId="Header">
    <w:name w:val="header"/>
    <w:basedOn w:val="Normal"/>
    <w:rsid w:val="00437A8A"/>
    <w:pPr>
      <w:tabs>
        <w:tab w:val="center" w:pos="4320"/>
        <w:tab w:val="right" w:pos="8640"/>
      </w:tabs>
    </w:pPr>
  </w:style>
  <w:style w:type="paragraph" w:styleId="Footer">
    <w:name w:val="footer"/>
    <w:basedOn w:val="Normal"/>
    <w:rsid w:val="00437A8A"/>
    <w:pPr>
      <w:tabs>
        <w:tab w:val="center" w:pos="4320"/>
        <w:tab w:val="right" w:pos="8640"/>
      </w:tabs>
    </w:pPr>
  </w:style>
  <w:style w:type="paragraph" w:styleId="BalloonText">
    <w:name w:val="Balloon Text"/>
    <w:basedOn w:val="Normal"/>
    <w:semiHidden/>
    <w:rsid w:val="006E500E"/>
    <w:rPr>
      <w:rFonts w:ascii="Tahoma" w:hAnsi="Tahoma" w:cs="Tahoma"/>
      <w:sz w:val="16"/>
      <w:szCs w:val="16"/>
    </w:rPr>
  </w:style>
  <w:style w:type="character" w:styleId="Hyperlink">
    <w:name w:val="Hyperlink"/>
    <w:basedOn w:val="DefaultParagraphFont"/>
    <w:rsid w:val="00F51E91"/>
    <w:rPr>
      <w:color w:val="0000FF" w:themeColor="hyperlink"/>
      <w:u w:val="single"/>
    </w:rPr>
  </w:style>
  <w:style w:type="paragraph" w:styleId="BodyTextIndent">
    <w:name w:val="Body Text Indent"/>
    <w:basedOn w:val="Normal"/>
    <w:link w:val="BodyTextIndentChar"/>
    <w:rsid w:val="002B7B3C"/>
    <w:pPr>
      <w:spacing w:after="120"/>
      <w:ind w:left="360"/>
    </w:pPr>
  </w:style>
  <w:style w:type="character" w:customStyle="1" w:styleId="BodyTextIndentChar">
    <w:name w:val="Body Text Indent Char"/>
    <w:basedOn w:val="DefaultParagraphFont"/>
    <w:link w:val="BodyTextIndent"/>
    <w:rsid w:val="002B7B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75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2" Type="http://schemas.openxmlformats.org/officeDocument/2006/relationships/image" Target="http://marlowe.mc.duke.edu/icons/ecblank.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E8B760E2DF244AA350C226C42F9E2A" ma:contentTypeVersion="1" ma:contentTypeDescription="Create a new document." ma:contentTypeScope="" ma:versionID="4e191a84a32009558f239e3968aadc1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4B1F02D-C0DF-47FD-95B0-8F087E3BB2C6}"/>
</file>

<file path=customXml/itemProps2.xml><?xml version="1.0" encoding="utf-8"?>
<ds:datastoreItem xmlns:ds="http://schemas.openxmlformats.org/officeDocument/2006/customXml" ds:itemID="{6B558E18-F4CF-4D79-9897-99A3E102C8FC}"/>
</file>

<file path=customXml/itemProps3.xml><?xml version="1.0" encoding="utf-8"?>
<ds:datastoreItem xmlns:ds="http://schemas.openxmlformats.org/officeDocument/2006/customXml" ds:itemID="{281EC612-CFBC-44CF-A802-AEA23BCF885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Duke Standard Operating Procedure Template</vt:lpstr>
    </vt:vector>
  </TitlesOfParts>
  <Company>School of Medicine</Company>
  <LinksUpToDate>false</LinksUpToDate>
  <CharactersWithSpaces>2911</CharactersWithSpaces>
  <SharedDoc>false</SharedDoc>
  <HLinks>
    <vt:vector size="6" baseType="variant">
      <vt:variant>
        <vt:i4>262224</vt:i4>
      </vt:variant>
      <vt:variant>
        <vt:i4>5993</vt:i4>
      </vt:variant>
      <vt:variant>
        <vt:i4>1025</vt:i4>
      </vt:variant>
      <vt:variant>
        <vt:i4>1</vt:i4>
      </vt:variant>
      <vt:variant>
        <vt:lpwstr>http://marlowe.mc.duke.edu/icons/ecblank.gif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Duke Standard Operating Procedure Template</dc:title>
  <dc:creator>moori001</dc:creator>
  <cp:lastModifiedBy>Susan George</cp:lastModifiedBy>
  <cp:revision>2</cp:revision>
  <cp:lastPrinted>2006-09-25T21:07:00Z</cp:lastPrinted>
  <dcterms:created xsi:type="dcterms:W3CDTF">2014-08-01T17:33:00Z</dcterms:created>
  <dcterms:modified xsi:type="dcterms:W3CDTF">2014-08-01T17:33:00Z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0x01010052E8B760E2DF244AA350C226C42F9E2A</vt:lpwstr>
  </property>
</Properties>
</file>